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9C66" w14:textId="77777777" w:rsidR="004C1524" w:rsidRPr="00EB7162" w:rsidRDefault="004C1524" w:rsidP="004C1524">
      <w:pPr>
        <w:jc w:val="right"/>
        <w:rPr>
          <w:rFonts w:ascii="Times New Roman" w:hAnsi="Times New Roman" w:cs="Times New Roman"/>
          <w:i/>
          <w:iCs/>
        </w:rPr>
      </w:pPr>
      <w:r w:rsidRPr="00EB7162">
        <w:rPr>
          <w:rFonts w:ascii="Times New Roman" w:hAnsi="Times New Roman" w:cs="Times New Roman"/>
          <w:i/>
          <w:iCs/>
        </w:rPr>
        <w:t>4. számú melléklet</w:t>
      </w:r>
    </w:p>
    <w:p w14:paraId="0858AAC8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4C9C7733" w14:textId="77777777" w:rsidR="004C1524" w:rsidRPr="00EB7162" w:rsidRDefault="004C1524" w:rsidP="004C1524">
      <w:pPr>
        <w:suppressAutoHyphens w:val="0"/>
        <w:ind w:right="-2"/>
        <w:jc w:val="center"/>
        <w:rPr>
          <w:rFonts w:ascii="Times New Roman" w:eastAsia="Times New Roman" w:hAnsi="Times New Roman" w:cs="Times New Roman"/>
        </w:rPr>
      </w:pPr>
      <w:r w:rsidRPr="00EB7162">
        <w:rPr>
          <w:rFonts w:ascii="Times New Roman" w:eastAsia="Times New Roman" w:hAnsi="Times New Roman" w:cs="Times New Roman"/>
          <w:b/>
          <w:bCs/>
        </w:rPr>
        <w:t>NYILATKOZAT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2995B060" w14:textId="77777777" w:rsidR="004C1524" w:rsidRPr="0055279E" w:rsidRDefault="004C1524" w:rsidP="004C1524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pályázó hallgató</w:t>
      </w:r>
    </w:p>
    <w:p w14:paraId="6E9C2C56" w14:textId="77777777" w:rsidR="004C1524" w:rsidRPr="0055279E" w:rsidRDefault="004C1524" w:rsidP="004C1524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egészségi állapotára tekintettel felmerülő költségekről</w:t>
      </w:r>
    </w:p>
    <w:p w14:paraId="785DDACC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439FB22E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6083621B" w14:textId="77777777" w:rsidR="004C1524" w:rsidRPr="0055279E" w:rsidRDefault="004C1524" w:rsidP="004C1524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Alulírott …………………………………. (pályázó hallgató neve) ……………………… (születési idő), …………………………………………………………………. (állandó lakcím) a Magyar Agrár- és Élettudományi Egyetemen szociális helyzetfelmérést kezdeményező hallgatóként büntetőjogi felelősségem tudatában kijelentem, hogy – az őszi félév esetén az adott év április 1. –június 30., tavaszi félév esetén a megelőző év október 1. – december 31. közötti időszakra vonatkozóan megállapítva –</w:t>
      </w:r>
    </w:p>
    <w:p w14:paraId="2B578605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57BD29FC" w14:textId="06F309D4" w:rsidR="004C1524" w:rsidRPr="0055279E" w:rsidRDefault="004C1524" w:rsidP="004C152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szociális helyzet megállapításánál figyelembe venni kért körülmény</w:t>
      </w:r>
    </w:p>
    <w:p w14:paraId="0F007CEB" w14:textId="77777777" w:rsidR="004C1524" w:rsidRDefault="004C1524" w:rsidP="004C1524">
      <w:pPr>
        <w:rPr>
          <w:rFonts w:ascii="Times New Roman" w:hAnsi="Times New Roman" w:cs="Times New Roman"/>
        </w:rPr>
      </w:pPr>
    </w:p>
    <w:tbl>
      <w:tblPr>
        <w:tblStyle w:val="Rcsostblzat3"/>
        <w:tblW w:w="9066" w:type="dxa"/>
        <w:tblInd w:w="1" w:type="dxa"/>
        <w:tblLook w:val="04A0" w:firstRow="1" w:lastRow="0" w:firstColumn="1" w:lastColumn="0" w:noHBand="0" w:noVBand="1"/>
      </w:tblPr>
      <w:tblGrid>
        <w:gridCol w:w="5523"/>
        <w:gridCol w:w="3543"/>
      </w:tblGrid>
      <w:tr w:rsidR="004C1524" w:rsidRPr="00927E03" w14:paraId="31E340BC" w14:textId="77777777" w:rsidTr="00063CDC">
        <w:tc>
          <w:tcPr>
            <w:tcW w:w="5523" w:type="dxa"/>
          </w:tcPr>
          <w:p w14:paraId="20C50B14" w14:textId="77777777" w:rsidR="004C1524" w:rsidRPr="00927E03" w:rsidRDefault="004C1524" w:rsidP="00063CDC">
            <w:pPr>
              <w:spacing w:line="272" w:lineRule="auto"/>
              <w:ind w:right="540"/>
            </w:pPr>
            <w:r w:rsidRPr="00927E03">
              <w:rPr>
                <w:b/>
                <w:bCs/>
              </w:rPr>
              <w:t>A szociális helyzet megállapításánál figyelembe venni kért körülmény</w:t>
            </w:r>
          </w:p>
        </w:tc>
        <w:tc>
          <w:tcPr>
            <w:tcW w:w="3543" w:type="dxa"/>
            <w:vAlign w:val="bottom"/>
          </w:tcPr>
          <w:p w14:paraId="4246D196" w14:textId="77777777" w:rsidR="004C1524" w:rsidRPr="00927E03" w:rsidRDefault="004C1524" w:rsidP="00063CDC">
            <w:pPr>
              <w:spacing w:line="272" w:lineRule="auto"/>
              <w:ind w:right="540"/>
            </w:pPr>
            <w:r w:rsidRPr="00927E03">
              <w:rPr>
                <w:b/>
                <w:bCs/>
              </w:rPr>
              <w:t>Felmerülő kiadások összege havi átlagban</w:t>
            </w:r>
          </w:p>
        </w:tc>
      </w:tr>
      <w:tr w:rsidR="004C1524" w:rsidRPr="00927E03" w14:paraId="155468B7" w14:textId="77777777" w:rsidTr="00063CDC">
        <w:tc>
          <w:tcPr>
            <w:tcW w:w="5523" w:type="dxa"/>
          </w:tcPr>
          <w:p w14:paraId="76372C95" w14:textId="77777777" w:rsidR="004C1524" w:rsidRPr="004C1524" w:rsidRDefault="004C1524" w:rsidP="00063CDC">
            <w:pPr>
              <w:spacing w:line="272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4C1524">
              <w:rPr>
                <w:rFonts w:ascii="Times New Roman" w:hAnsi="Times New Roman" w:cs="Times New Roman"/>
                <w:w w:val="99"/>
                <w:sz w:val="24"/>
                <w:szCs w:val="24"/>
              </w:rPr>
              <w:t>igazoltan fogyatékos hallgatóként</w:t>
            </w:r>
            <w:r w:rsidRPr="004C1524">
              <w:rPr>
                <w:rFonts w:ascii="Times New Roman" w:hAnsi="Times New Roman" w:cs="Times New Roman"/>
                <w:w w:val="99"/>
                <w:sz w:val="24"/>
                <w:szCs w:val="24"/>
                <w:vertAlign w:val="superscript"/>
              </w:rPr>
              <w:footnoteReference w:id="2"/>
            </w:r>
            <w:r w:rsidRPr="004C15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különleges eszközök </w:t>
            </w:r>
            <w:r w:rsidRPr="004C1524">
              <w:rPr>
                <w:rFonts w:ascii="Times New Roman" w:hAnsi="Times New Roman" w:cs="Times New Roman"/>
                <w:sz w:val="24"/>
                <w:szCs w:val="24"/>
              </w:rPr>
              <w:t>beszerzése és fenntartása, speciális utazási szükségleteim, személyi segítő, illetve jelnyelvi tolmács igénybevétele okán felmerülő kiadásaim</w:t>
            </w:r>
          </w:p>
        </w:tc>
        <w:tc>
          <w:tcPr>
            <w:tcW w:w="3543" w:type="dxa"/>
            <w:vAlign w:val="center"/>
          </w:tcPr>
          <w:p w14:paraId="3DB64A7D" w14:textId="77777777" w:rsidR="004C1524" w:rsidRPr="00927E03" w:rsidRDefault="004C1524" w:rsidP="00063CDC">
            <w:pPr>
              <w:spacing w:line="272" w:lineRule="auto"/>
              <w:ind w:right="112"/>
              <w:jc w:val="right"/>
            </w:pPr>
            <w:r w:rsidRPr="00927E03">
              <w:t>………………………….. forint</w:t>
            </w:r>
          </w:p>
        </w:tc>
      </w:tr>
      <w:tr w:rsidR="004C1524" w:rsidRPr="00927E03" w14:paraId="07E8C884" w14:textId="77777777" w:rsidTr="00063CDC">
        <w:tc>
          <w:tcPr>
            <w:tcW w:w="5523" w:type="dxa"/>
          </w:tcPr>
          <w:p w14:paraId="6241FD02" w14:textId="77777777" w:rsidR="004C1524" w:rsidRPr="004C1524" w:rsidRDefault="004C1524" w:rsidP="00063CDC">
            <w:pPr>
              <w:spacing w:line="272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4C1524">
              <w:rPr>
                <w:rFonts w:ascii="Times New Roman" w:hAnsi="Times New Roman" w:cs="Times New Roman"/>
                <w:sz w:val="24"/>
                <w:szCs w:val="24"/>
              </w:rPr>
              <w:t>igazolt egészségi állapotom miatt rendszeresen felmerülő egészségügyi kiadásaim</w:t>
            </w:r>
          </w:p>
        </w:tc>
        <w:tc>
          <w:tcPr>
            <w:tcW w:w="3543" w:type="dxa"/>
            <w:vAlign w:val="center"/>
          </w:tcPr>
          <w:p w14:paraId="18942F57" w14:textId="77777777" w:rsidR="004C1524" w:rsidRPr="00927E03" w:rsidRDefault="004C1524" w:rsidP="00063CDC">
            <w:pPr>
              <w:spacing w:line="272" w:lineRule="auto"/>
              <w:ind w:right="112"/>
              <w:jc w:val="right"/>
            </w:pPr>
            <w:r w:rsidRPr="00927E03">
              <w:t>………………………….. forint</w:t>
            </w:r>
          </w:p>
        </w:tc>
      </w:tr>
    </w:tbl>
    <w:p w14:paraId="0861345E" w14:textId="77777777" w:rsidR="004C1524" w:rsidRDefault="004C1524" w:rsidP="004C1524">
      <w:pPr>
        <w:rPr>
          <w:rFonts w:ascii="Times New Roman" w:hAnsi="Times New Roman" w:cs="Times New Roman"/>
        </w:rPr>
      </w:pPr>
    </w:p>
    <w:p w14:paraId="1422A768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107D0F89" w14:textId="77777777" w:rsidR="004C1524" w:rsidRPr="0055279E" w:rsidRDefault="004C1524" w:rsidP="004C152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 ………………………………</w:t>
      </w:r>
    </w:p>
    <w:p w14:paraId="28C9AA93" w14:textId="77777777" w:rsidR="004C1524" w:rsidRDefault="004C1524" w:rsidP="004C1524">
      <w:pPr>
        <w:rPr>
          <w:rFonts w:ascii="Times New Roman" w:hAnsi="Times New Roman" w:cs="Times New Roman"/>
        </w:rPr>
      </w:pPr>
    </w:p>
    <w:p w14:paraId="5BA19EE5" w14:textId="77777777" w:rsidR="004C1524" w:rsidRPr="0055279E" w:rsidRDefault="004C1524" w:rsidP="004C1524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62599AB2" w14:textId="77777777" w:rsidR="004C1524" w:rsidRPr="0055279E" w:rsidRDefault="004C1524" w:rsidP="004C1524">
      <w:pPr>
        <w:tabs>
          <w:tab w:val="center" w:pos="6663"/>
        </w:tabs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ab/>
        <w:t>pályázó hallgató aláírása</w:t>
      </w:r>
    </w:p>
    <w:p w14:paraId="229080E6" w14:textId="77777777" w:rsidR="004C1524" w:rsidRPr="0055279E" w:rsidRDefault="004C1524" w:rsidP="004C1524">
      <w:pPr>
        <w:rPr>
          <w:rFonts w:ascii="Times New Roman" w:hAnsi="Times New Roman" w:cs="Times New Roman"/>
        </w:rPr>
      </w:pPr>
    </w:p>
    <w:p w14:paraId="1CADB00E" w14:textId="77777777" w:rsidR="004C1524" w:rsidRPr="0055279E" w:rsidRDefault="004C1524" w:rsidP="004C1524">
      <w:pPr>
        <w:tabs>
          <w:tab w:val="left" w:pos="4253"/>
        </w:tabs>
        <w:rPr>
          <w:rFonts w:ascii="Times New Roman" w:hAnsi="Times New Roman" w:cs="Times New Roman"/>
        </w:rPr>
      </w:pPr>
      <w:r w:rsidRPr="00927E03">
        <w:rPr>
          <w:rFonts w:ascii="Times New Roman" w:hAnsi="Times New Roman" w:cs="Times New Roman"/>
          <w:b/>
          <w:bCs/>
        </w:rPr>
        <w:t>1. tanú</w:t>
      </w:r>
      <w:r w:rsidRPr="0055279E"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ab/>
      </w:r>
      <w:r w:rsidRPr="00927E03">
        <w:rPr>
          <w:rFonts w:ascii="Times New Roman" w:hAnsi="Times New Roman" w:cs="Times New Roman"/>
          <w:b/>
          <w:bCs/>
        </w:rPr>
        <w:t>2. tanú</w:t>
      </w:r>
      <w:r w:rsidRPr="0055279E">
        <w:rPr>
          <w:rFonts w:ascii="Times New Roman" w:hAnsi="Times New Roman" w:cs="Times New Roman"/>
        </w:rPr>
        <w:t xml:space="preserve"> </w:t>
      </w:r>
    </w:p>
    <w:p w14:paraId="4E47BAEA" w14:textId="0C2FC02E" w:rsidR="004C1524" w:rsidRPr="0055279E" w:rsidRDefault="004C1524" w:rsidP="004C152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>Név: ………………………………………</w:t>
      </w:r>
    </w:p>
    <w:p w14:paraId="30DA74D5" w14:textId="092CFCBA" w:rsidR="004C1524" w:rsidRPr="0055279E" w:rsidRDefault="004C1524" w:rsidP="004C152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>Aláírás:</w:t>
      </w:r>
      <w:r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>…………………………………...</w:t>
      </w:r>
    </w:p>
    <w:p w14:paraId="47C0D057" w14:textId="6C72F5EF" w:rsidR="004C1524" w:rsidRPr="0055279E" w:rsidRDefault="004C1524" w:rsidP="004C152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77321AD" w14:textId="77777777" w:rsidR="00184457" w:rsidRDefault="00184457"/>
    <w:sectPr w:rsidR="00184457" w:rsidSect="004C152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2B05" w14:textId="77777777" w:rsidR="001A61E1" w:rsidRDefault="001A61E1" w:rsidP="004C1524">
      <w:r>
        <w:separator/>
      </w:r>
    </w:p>
  </w:endnote>
  <w:endnote w:type="continuationSeparator" w:id="0">
    <w:p w14:paraId="4D4DE6CC" w14:textId="77777777" w:rsidR="001A61E1" w:rsidRDefault="001A61E1" w:rsidP="004C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1C89" w14:textId="77777777" w:rsidR="001A61E1" w:rsidRDefault="001A61E1" w:rsidP="004C1524">
      <w:r>
        <w:separator/>
      </w:r>
    </w:p>
  </w:footnote>
  <w:footnote w:type="continuationSeparator" w:id="0">
    <w:p w14:paraId="215479E3" w14:textId="77777777" w:rsidR="001A61E1" w:rsidRDefault="001A61E1" w:rsidP="004C1524">
      <w:r>
        <w:continuationSeparator/>
      </w:r>
    </w:p>
  </w:footnote>
  <w:footnote w:id="1">
    <w:p w14:paraId="4B0585F4" w14:textId="77777777" w:rsidR="004C1524" w:rsidRPr="00230F75" w:rsidRDefault="004C1524" w:rsidP="004C1524">
      <w:pPr>
        <w:tabs>
          <w:tab w:val="left" w:pos="378"/>
        </w:tabs>
        <w:spacing w:line="236" w:lineRule="auto"/>
        <w:ind w:left="1" w:right="520"/>
        <w:rPr>
          <w:rFonts w:ascii="Times New Roman" w:hAnsi="Times New Roman" w:cs="Times New Roman"/>
          <w:sz w:val="20"/>
          <w:szCs w:val="20"/>
        </w:rPr>
      </w:pPr>
      <w:r w:rsidRPr="00230F75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230F75">
        <w:rPr>
          <w:rFonts w:ascii="Times New Roman" w:eastAsia="Times New Roman" w:hAnsi="Times New Roman" w:cs="Times New Roman"/>
          <w:sz w:val="20"/>
          <w:szCs w:val="20"/>
        </w:rPr>
        <w:t>A szociális helyzetfelmérés adatkezelési tájékoztatója elérhető a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hyperlink r:id="rId1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https://oig.uni-mate.hu/szocialis-</w:t>
        </w:r>
      </w:hyperlink>
      <w:hyperlink r:id="rId2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helyzetfelmeres</w:t>
        </w:r>
        <w:r w:rsidRPr="00230F7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hyperlink>
      <w:r w:rsidRPr="00230F75">
        <w:rPr>
          <w:rFonts w:ascii="Times New Roman" w:eastAsia="Times New Roman" w:hAnsi="Times New Roman" w:cs="Times New Roman"/>
          <w:color w:val="000000"/>
          <w:sz w:val="20"/>
          <w:szCs w:val="20"/>
        </w:rPr>
        <w:t>oldalon, adatvédelmi ügyekben az alábbi oldalon megadott elérhetőségeken fordulhat hozzánk: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 xml:space="preserve"> </w:t>
      </w:r>
      <w:hyperlink r:id="rId3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https://uni-mate.hu/adatv%C3%A9delem</w:t>
        </w:r>
      </w:hyperlink>
    </w:p>
  </w:footnote>
  <w:footnote w:id="2">
    <w:p w14:paraId="05558661" w14:textId="690CFC74" w:rsidR="004C1524" w:rsidRPr="004C1524" w:rsidRDefault="004C1524" w:rsidP="004C1524">
      <w:pPr>
        <w:tabs>
          <w:tab w:val="left" w:pos="246"/>
        </w:tabs>
        <w:spacing w:line="252" w:lineRule="auto"/>
        <w:ind w:left="1" w:right="540"/>
        <w:rPr>
          <w:rFonts w:ascii="Times New Roman" w:eastAsia="Times New Roman" w:hAnsi="Times New Roman" w:cs="Times New Roman"/>
          <w:sz w:val="20"/>
          <w:szCs w:val="20"/>
        </w:rPr>
      </w:pPr>
      <w:r w:rsidRPr="00230F75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230F75">
        <w:rPr>
          <w:rFonts w:ascii="Times New Roman" w:hAnsi="Times New Roman" w:cs="Times New Roman"/>
          <w:sz w:val="20"/>
          <w:szCs w:val="20"/>
        </w:rPr>
        <w:t xml:space="preserve"> </w:t>
      </w:r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A nemzeti felsőoktatásról szóló 2011. évi CCIV. törvény 108. § 6. pontja, továbbá a Tanulmányi és Vizsgaszabályzat 2. sz. melléklet: Speciális szükségletű hallgatók számára az esélyegyenlőséget biztosító kedvezmények szabályzata szerinti, a szociális helyzetfelmérés során figyelembe vehető fogyatékosságok: mozgáskorlátozott, hallássérült (siket, nagyothalló), látássérült (vak,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aliglátó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>, gyengénlátó), beszédfogyatékos (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diszfázia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diszlália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diszfónia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, dadogás, hadarás, afázia, orrhangzós beszéd,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dizartria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mutizmus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, súlyos beszédészlelési és beszédmegértési zavar, centrális pöszeség, megkésett beszédfejlődés), pszichés fejlődési zavar (diszlexia-diszgráfia-diszortográfia,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diszkalkulia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>, hiperaktív, figyelemzavarral küzdő, magatartásszabályozási zavarral (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szocio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-adaptív folyamatok zavaraival, az érzelmi kontroll, ön-, vagy mások felé irányuló agresszió, a szorongás, az én-szabályozás gyengeségét mutató magatartásjellemzők, az alkalmazkodóképesség, a célirányos viselkedés, az önszervezés, valamint a </w:t>
      </w:r>
      <w:proofErr w:type="spellStart"/>
      <w:r w:rsidRPr="00230F75">
        <w:rPr>
          <w:rFonts w:ascii="Times New Roman" w:eastAsia="Times New Roman" w:hAnsi="Times New Roman" w:cs="Times New Roman"/>
          <w:sz w:val="20"/>
          <w:szCs w:val="20"/>
        </w:rPr>
        <w:t>metakogníció</w:t>
      </w:r>
      <w:proofErr w:type="spellEnd"/>
      <w:r w:rsidRPr="00230F75">
        <w:rPr>
          <w:rFonts w:ascii="Times New Roman" w:eastAsia="Times New Roman" w:hAnsi="Times New Roman" w:cs="Times New Roman"/>
          <w:sz w:val="20"/>
          <w:szCs w:val="20"/>
        </w:rPr>
        <w:t xml:space="preserve"> eltérő fejlődésével) küzdő), autizmussal élő.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24"/>
    <w:rsid w:val="00184457"/>
    <w:rsid w:val="001A61E1"/>
    <w:rsid w:val="00286365"/>
    <w:rsid w:val="004C1524"/>
    <w:rsid w:val="006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981"/>
  <w15:chartTrackingRefBased/>
  <w15:docId w15:val="{D5549D84-F774-4DB5-B66A-801539FA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1524"/>
    <w:pPr>
      <w:suppressAutoHyphens/>
      <w:spacing w:after="0" w:line="240" w:lineRule="auto"/>
      <w:jc w:val="both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C1524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524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524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524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524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524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524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524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524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5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5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5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5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5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5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1524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C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1524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C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52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C15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524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C15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5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524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4C1524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15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4C1524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C1524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4C152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C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1132</Characters>
  <Application>Microsoft Office Word</Application>
  <DocSecurity>0</DocSecurity>
  <Lines>40</Lines>
  <Paragraphs>21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</cp:revision>
  <dcterms:created xsi:type="dcterms:W3CDTF">2026-01-30T20:58:00Z</dcterms:created>
  <dcterms:modified xsi:type="dcterms:W3CDTF">2026-01-30T21:00:00Z</dcterms:modified>
</cp:coreProperties>
</file>